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F7F71" w14:textId="77777777" w:rsidR="008B7C30" w:rsidRDefault="008B7C30" w:rsidP="008B7C30">
      <w:pPr>
        <w:widowControl w:val="0"/>
        <w:autoSpaceDE w:val="0"/>
        <w:autoSpaceDN w:val="0"/>
        <w:adjustRightInd w:val="0"/>
        <w:rPr>
          <w:rFonts w:ascii="Arial" w:hAnsi="Arial" w:cs="Arial"/>
          <w:color w:val="1A1A1A"/>
          <w:sz w:val="44"/>
          <w:szCs w:val="44"/>
          <w:lang w:val="en-US"/>
        </w:rPr>
      </w:pPr>
      <w:r>
        <w:rPr>
          <w:rFonts w:ascii="Arial" w:hAnsi="Arial" w:cs="Times New Roman"/>
          <w:lang w:val="en-US"/>
        </w:rPr>
        <w:fldChar w:fldCharType="begin"/>
      </w:r>
      <w:r>
        <w:rPr>
          <w:rFonts w:ascii="Arial" w:hAnsi="Arial" w:cs="Times New Roman"/>
          <w:lang w:val="en-US"/>
        </w:rPr>
        <w:instrText>HYPERLINK "http://aboriginalastronomy.blogspot.com.au/2014/03/the-kamilaroi-and-euahlayi-emu-in-sky.html"</w:instrText>
      </w:r>
      <w:r>
        <w:rPr>
          <w:rFonts w:ascii="Arial" w:hAnsi="Arial" w:cs="Times New Roman"/>
          <w:lang w:val="en-US"/>
        </w:rPr>
        <w:fldChar w:fldCharType="separate"/>
      </w:r>
      <w:r>
        <w:rPr>
          <w:rFonts w:ascii="Arial" w:hAnsi="Arial" w:cs="Arial"/>
          <w:color w:val="BF4F10"/>
          <w:sz w:val="44"/>
          <w:szCs w:val="44"/>
          <w:lang w:val="en-US"/>
        </w:rPr>
        <w:t xml:space="preserve">The </w:t>
      </w:r>
      <w:proofErr w:type="spellStart"/>
      <w:r>
        <w:rPr>
          <w:rFonts w:ascii="Arial" w:hAnsi="Arial" w:cs="Arial"/>
          <w:color w:val="BF4F10"/>
          <w:sz w:val="44"/>
          <w:szCs w:val="44"/>
          <w:lang w:val="en-US"/>
        </w:rPr>
        <w:t>Kamilaroi</w:t>
      </w:r>
      <w:proofErr w:type="spellEnd"/>
      <w:r>
        <w:rPr>
          <w:rFonts w:ascii="Arial" w:hAnsi="Arial" w:cs="Arial"/>
          <w:color w:val="BF4F10"/>
          <w:sz w:val="44"/>
          <w:szCs w:val="44"/>
          <w:lang w:val="en-US"/>
        </w:rPr>
        <w:t xml:space="preserve"> and </w:t>
      </w:r>
      <w:proofErr w:type="spellStart"/>
      <w:r>
        <w:rPr>
          <w:rFonts w:ascii="Arial" w:hAnsi="Arial" w:cs="Arial"/>
          <w:color w:val="BF4F10"/>
          <w:sz w:val="44"/>
          <w:szCs w:val="44"/>
          <w:lang w:val="en-US"/>
        </w:rPr>
        <w:t>Euahlayi</w:t>
      </w:r>
      <w:proofErr w:type="spellEnd"/>
      <w:r>
        <w:rPr>
          <w:rFonts w:ascii="Arial" w:hAnsi="Arial" w:cs="Arial"/>
          <w:color w:val="BF4F10"/>
          <w:sz w:val="44"/>
          <w:szCs w:val="44"/>
          <w:lang w:val="en-US"/>
        </w:rPr>
        <w:t xml:space="preserve"> Emu in the Sky</w:t>
      </w:r>
      <w:r>
        <w:rPr>
          <w:rFonts w:ascii="Arial" w:hAnsi="Arial" w:cs="Times New Roman"/>
          <w:lang w:val="en-US"/>
        </w:rPr>
        <w:fldChar w:fldCharType="end"/>
      </w:r>
    </w:p>
    <w:p w14:paraId="1498F662" w14:textId="77777777" w:rsidR="008B7C30" w:rsidRDefault="008B7C30" w:rsidP="008B7C30">
      <w:pPr>
        <w:widowControl w:val="0"/>
        <w:autoSpaceDE w:val="0"/>
        <w:autoSpaceDN w:val="0"/>
        <w:adjustRightInd w:val="0"/>
        <w:rPr>
          <w:rFonts w:ascii="Arial" w:hAnsi="Arial" w:cs="Arial"/>
          <w:color w:val="1A1A1A"/>
          <w:sz w:val="22"/>
          <w:szCs w:val="22"/>
          <w:lang w:val="en-US"/>
        </w:rPr>
      </w:pPr>
    </w:p>
    <w:p w14:paraId="4B30C965" w14:textId="77777777" w:rsidR="008B7C30" w:rsidRDefault="008B7C30" w:rsidP="008B7C30">
      <w:pPr>
        <w:widowControl w:val="0"/>
        <w:autoSpaceDE w:val="0"/>
        <w:autoSpaceDN w:val="0"/>
        <w:adjustRightInd w:val="0"/>
        <w:jc w:val="both"/>
        <w:rPr>
          <w:rFonts w:ascii="Arial" w:hAnsi="Arial" w:cs="Arial"/>
          <w:color w:val="1A1A1A"/>
          <w:sz w:val="26"/>
          <w:szCs w:val="26"/>
          <w:lang w:val="en-US"/>
        </w:rPr>
      </w:pPr>
      <w:proofErr w:type="gramStart"/>
      <w:r>
        <w:rPr>
          <w:rFonts w:ascii="Arial" w:hAnsi="Arial" w:cs="Arial"/>
          <w:color w:val="1A1A1A"/>
          <w:sz w:val="26"/>
          <w:szCs w:val="26"/>
          <w:lang w:val="en-US"/>
        </w:rPr>
        <w:t>by</w:t>
      </w:r>
      <w:proofErr w:type="gramEnd"/>
      <w:r>
        <w:rPr>
          <w:rFonts w:ascii="Arial" w:hAnsi="Arial" w:cs="Arial"/>
          <w:color w:val="1A1A1A"/>
          <w:sz w:val="26"/>
          <w:szCs w:val="26"/>
          <w:lang w:val="en-US"/>
        </w:rPr>
        <w:t xml:space="preserve"> </w:t>
      </w:r>
      <w:hyperlink r:id="rId5" w:history="1">
        <w:r>
          <w:rPr>
            <w:rFonts w:ascii="Arial" w:hAnsi="Arial" w:cs="Arial"/>
            <w:color w:val="BF4F10"/>
            <w:sz w:val="26"/>
            <w:szCs w:val="26"/>
            <w:lang w:val="en-US"/>
          </w:rPr>
          <w:t>Robert Fuller</w:t>
        </w:r>
      </w:hyperlink>
    </w:p>
    <w:p w14:paraId="29AAFF95" w14:textId="77777777" w:rsidR="008B7C30" w:rsidRDefault="008B7C30" w:rsidP="008B7C30">
      <w:pPr>
        <w:widowControl w:val="0"/>
        <w:autoSpaceDE w:val="0"/>
        <w:autoSpaceDN w:val="0"/>
        <w:adjustRightInd w:val="0"/>
        <w:jc w:val="both"/>
        <w:rPr>
          <w:rFonts w:ascii="Arial" w:hAnsi="Arial" w:cs="Arial"/>
          <w:color w:val="1A1A1A"/>
          <w:sz w:val="26"/>
          <w:szCs w:val="26"/>
          <w:lang w:val="en-US"/>
        </w:rPr>
      </w:pPr>
    </w:p>
    <w:p w14:paraId="201BD371" w14:textId="77777777" w:rsidR="008B7C30" w:rsidRDefault="008B7C30" w:rsidP="008B7C30">
      <w:pPr>
        <w:widowControl w:val="0"/>
        <w:autoSpaceDE w:val="0"/>
        <w:autoSpaceDN w:val="0"/>
        <w:adjustRightInd w:val="0"/>
        <w:jc w:val="both"/>
        <w:rPr>
          <w:rFonts w:ascii="Arial" w:hAnsi="Arial" w:cs="Arial"/>
          <w:color w:val="1A1A1A"/>
          <w:sz w:val="26"/>
          <w:szCs w:val="26"/>
          <w:lang w:val="en-US"/>
        </w:rPr>
      </w:pPr>
      <w:r>
        <w:rPr>
          <w:rFonts w:ascii="Arial" w:hAnsi="Arial" w:cs="Arial"/>
          <w:color w:val="1A1A1A"/>
          <w:sz w:val="26"/>
          <w:szCs w:val="26"/>
          <w:lang w:val="en-US"/>
        </w:rPr>
        <w:t xml:space="preserve">The concept of the Emu in the Sky exists in different Aboriginal groups across Australia. These stories have different meanings, from indicators of resources (when to collect emu eggs) to that of culture heroes. The </w:t>
      </w:r>
      <w:proofErr w:type="spellStart"/>
      <w:r>
        <w:rPr>
          <w:rFonts w:ascii="Arial" w:hAnsi="Arial" w:cs="Arial"/>
          <w:color w:val="1A1A1A"/>
          <w:sz w:val="26"/>
          <w:szCs w:val="26"/>
          <w:lang w:val="en-US"/>
        </w:rPr>
        <w:t>Kamilaroi</w:t>
      </w:r>
      <w:proofErr w:type="spellEnd"/>
      <w:r>
        <w:rPr>
          <w:rFonts w:ascii="Arial" w:hAnsi="Arial" w:cs="Arial"/>
          <w:color w:val="1A1A1A"/>
          <w:sz w:val="26"/>
          <w:szCs w:val="26"/>
          <w:lang w:val="en-US"/>
        </w:rPr>
        <w:t xml:space="preserve"> and </w:t>
      </w:r>
      <w:proofErr w:type="spellStart"/>
      <w:r>
        <w:rPr>
          <w:rFonts w:ascii="Arial" w:hAnsi="Arial" w:cs="Arial"/>
          <w:color w:val="1A1A1A"/>
          <w:sz w:val="26"/>
          <w:szCs w:val="26"/>
          <w:lang w:val="en-US"/>
        </w:rPr>
        <w:t>Euahlayi</w:t>
      </w:r>
      <w:proofErr w:type="spellEnd"/>
      <w:r>
        <w:rPr>
          <w:rFonts w:ascii="Arial" w:hAnsi="Arial" w:cs="Arial"/>
          <w:color w:val="1A1A1A"/>
          <w:sz w:val="26"/>
          <w:szCs w:val="26"/>
          <w:lang w:val="en-US"/>
        </w:rPr>
        <w:t xml:space="preserve"> peoples, who live in the north and northwest of New South Wales, also have traditions of an Emu in the Sky, which differed from many of the other accounts. For the </w:t>
      </w:r>
      <w:proofErr w:type="spellStart"/>
      <w:r>
        <w:rPr>
          <w:rFonts w:ascii="Arial" w:hAnsi="Arial" w:cs="Arial"/>
          <w:color w:val="1A1A1A"/>
          <w:sz w:val="26"/>
          <w:szCs w:val="26"/>
          <w:lang w:val="en-US"/>
        </w:rPr>
        <w:t>Kamilaroi</w:t>
      </w:r>
      <w:proofErr w:type="spellEnd"/>
      <w:r>
        <w:rPr>
          <w:rFonts w:ascii="Arial" w:hAnsi="Arial" w:cs="Arial"/>
          <w:color w:val="1A1A1A"/>
          <w:sz w:val="26"/>
          <w:szCs w:val="26"/>
          <w:lang w:val="en-US"/>
        </w:rPr>
        <w:t xml:space="preserve"> and </w:t>
      </w:r>
      <w:proofErr w:type="spellStart"/>
      <w:r>
        <w:rPr>
          <w:rFonts w:ascii="Arial" w:hAnsi="Arial" w:cs="Arial"/>
          <w:color w:val="1A1A1A"/>
          <w:sz w:val="26"/>
          <w:szCs w:val="26"/>
          <w:lang w:val="en-US"/>
        </w:rPr>
        <w:t>Euahlayi</w:t>
      </w:r>
      <w:proofErr w:type="spellEnd"/>
      <w:r>
        <w:rPr>
          <w:rFonts w:ascii="Arial" w:hAnsi="Arial" w:cs="Arial"/>
          <w:color w:val="1A1A1A"/>
          <w:sz w:val="26"/>
          <w:szCs w:val="26"/>
          <w:lang w:val="en-US"/>
        </w:rPr>
        <w:t>, the celestial Emu represents different things at different times of the year. The Emu first becomes visible in March. When it is fully visible in the Milky Way during April and May, it assumes the form of a running emu (Figure 1). This represents a female emu chasing the males during the mating season. Because emus begin laying their eggs at this time, this appearance of the celestial Emu is a reminder that the emu eggs are available for collection.</w:t>
      </w:r>
    </w:p>
    <w:p w14:paraId="668B677F" w14:textId="77777777" w:rsidR="008B7C30" w:rsidRDefault="008B7C30" w:rsidP="008B7C30">
      <w:pPr>
        <w:widowControl w:val="0"/>
        <w:autoSpaceDE w:val="0"/>
        <w:autoSpaceDN w:val="0"/>
        <w:adjustRightInd w:val="0"/>
        <w:rPr>
          <w:rFonts w:ascii="Arial" w:hAnsi="Arial" w:cs="Arial"/>
          <w:color w:val="1A1A1A"/>
          <w:sz w:val="26"/>
          <w:szCs w:val="26"/>
          <w:lang w:val="en-US"/>
        </w:rPr>
      </w:pPr>
    </w:p>
    <w:tbl>
      <w:tblPr>
        <w:tblW w:w="8903" w:type="dxa"/>
        <w:tblBorders>
          <w:top w:val="single" w:sz="8" w:space="0" w:color="EAEAEA"/>
          <w:left w:val="single" w:sz="8" w:space="0" w:color="EAEAEA"/>
          <w:right w:val="single" w:sz="8" w:space="0" w:color="EAEAEA"/>
        </w:tblBorders>
        <w:tblLayout w:type="fixed"/>
        <w:tblLook w:val="0000" w:firstRow="0" w:lastRow="0" w:firstColumn="0" w:lastColumn="0" w:noHBand="0" w:noVBand="0"/>
      </w:tblPr>
      <w:tblGrid>
        <w:gridCol w:w="8903"/>
      </w:tblGrid>
      <w:tr w:rsidR="008B7C30" w14:paraId="7B386722" w14:textId="77777777" w:rsidTr="00267281">
        <w:trPr>
          <w:trHeight w:val="6961"/>
        </w:trPr>
        <w:tc>
          <w:tcPr>
            <w:tcW w:w="8903" w:type="dxa"/>
            <w:vAlign w:val="center"/>
          </w:tcPr>
          <w:p w14:paraId="0D0E5DFD" w14:textId="77777777" w:rsidR="008B7C30" w:rsidRDefault="008B7C30">
            <w:pPr>
              <w:widowControl w:val="0"/>
              <w:autoSpaceDE w:val="0"/>
              <w:autoSpaceDN w:val="0"/>
              <w:adjustRightInd w:val="0"/>
              <w:jc w:val="center"/>
              <w:rPr>
                <w:rFonts w:ascii="Arial" w:hAnsi="Arial" w:cs="Arial"/>
                <w:color w:val="1A1A1A"/>
                <w:sz w:val="26"/>
                <w:szCs w:val="26"/>
                <w:lang w:val="en-US"/>
              </w:rPr>
            </w:pPr>
            <w:r>
              <w:rPr>
                <w:rFonts w:ascii="Arial" w:hAnsi="Arial" w:cs="Arial"/>
                <w:noProof/>
                <w:color w:val="BF4F10"/>
                <w:sz w:val="26"/>
                <w:szCs w:val="26"/>
                <w:lang w:val="en-US"/>
              </w:rPr>
              <w:drawing>
                <wp:inline distT="0" distB="0" distL="0" distR="0" wp14:anchorId="2A44036B" wp14:editId="0E43EB07">
                  <wp:extent cx="6906895" cy="4436110"/>
                  <wp:effectExtent l="0" t="0" r="1905" b="889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6895" cy="4436110"/>
                          </a:xfrm>
                          <a:prstGeom prst="rect">
                            <a:avLst/>
                          </a:prstGeom>
                          <a:noFill/>
                          <a:ln>
                            <a:noFill/>
                          </a:ln>
                        </pic:spPr>
                      </pic:pic>
                    </a:graphicData>
                  </a:graphic>
                </wp:inline>
              </w:drawing>
            </w:r>
          </w:p>
        </w:tc>
      </w:tr>
      <w:tr w:rsidR="008B7C30" w14:paraId="5A512A82" w14:textId="77777777" w:rsidTr="00267281">
        <w:tblPrEx>
          <w:tblBorders>
            <w:top w:val="none" w:sz="0" w:space="0" w:color="auto"/>
            <w:bottom w:val="single" w:sz="8" w:space="0" w:color="EAEAEA"/>
          </w:tblBorders>
        </w:tblPrEx>
        <w:trPr>
          <w:trHeight w:val="259"/>
        </w:trPr>
        <w:tc>
          <w:tcPr>
            <w:tcW w:w="8903" w:type="dxa"/>
            <w:vAlign w:val="center"/>
          </w:tcPr>
          <w:p w14:paraId="3DD97458" w14:textId="77777777" w:rsidR="008B7C30" w:rsidRDefault="008B7C30">
            <w:pPr>
              <w:widowControl w:val="0"/>
              <w:autoSpaceDE w:val="0"/>
              <w:autoSpaceDN w:val="0"/>
              <w:adjustRightInd w:val="0"/>
              <w:jc w:val="center"/>
              <w:rPr>
                <w:rFonts w:ascii="Arial" w:hAnsi="Arial" w:cs="Arial"/>
                <w:color w:val="1A1A1A"/>
                <w:sz w:val="22"/>
                <w:szCs w:val="22"/>
                <w:lang w:val="en-US"/>
              </w:rPr>
            </w:pPr>
            <w:r>
              <w:rPr>
                <w:rFonts w:ascii="Arial" w:hAnsi="Arial" w:cs="Arial"/>
                <w:color w:val="1A1A1A"/>
                <w:sz w:val="22"/>
                <w:szCs w:val="22"/>
                <w:lang w:val="en-US"/>
              </w:rPr>
              <w:t>Figure 1</w:t>
            </w:r>
          </w:p>
        </w:tc>
      </w:tr>
    </w:tbl>
    <w:p w14:paraId="76D8B58F" w14:textId="77777777" w:rsidR="008B7C30" w:rsidRDefault="008B7C30" w:rsidP="008B7C30">
      <w:pPr>
        <w:widowControl w:val="0"/>
        <w:autoSpaceDE w:val="0"/>
        <w:autoSpaceDN w:val="0"/>
        <w:adjustRightInd w:val="0"/>
        <w:jc w:val="both"/>
        <w:rPr>
          <w:rFonts w:ascii="Arial" w:hAnsi="Arial" w:cs="Arial"/>
          <w:color w:val="1A1A1A"/>
          <w:sz w:val="26"/>
          <w:szCs w:val="26"/>
          <w:lang w:val="en-US"/>
        </w:rPr>
      </w:pPr>
    </w:p>
    <w:p w14:paraId="72BA2436" w14:textId="77777777" w:rsidR="008B7C30" w:rsidRDefault="008B7C30" w:rsidP="008B7C30">
      <w:pPr>
        <w:widowControl w:val="0"/>
        <w:autoSpaceDE w:val="0"/>
        <w:autoSpaceDN w:val="0"/>
        <w:adjustRightInd w:val="0"/>
        <w:jc w:val="both"/>
        <w:rPr>
          <w:rFonts w:ascii="Arial" w:hAnsi="Arial" w:cs="Arial"/>
          <w:color w:val="1A1A1A"/>
          <w:sz w:val="26"/>
          <w:szCs w:val="26"/>
          <w:lang w:val="en-US"/>
        </w:rPr>
      </w:pPr>
      <w:r>
        <w:rPr>
          <w:rFonts w:ascii="Arial" w:hAnsi="Arial" w:cs="Arial"/>
          <w:color w:val="1A1A1A"/>
          <w:sz w:val="26"/>
          <w:szCs w:val="26"/>
          <w:lang w:val="en-US"/>
        </w:rPr>
        <w:t>In June and July, the appearance of the Emu changes, as the legs disappear. The Emu, which is now male, is sitting on its nest, incubating the eggs (Figure 2). The eggs are still available for collection as a resource at this time.</w:t>
      </w:r>
    </w:p>
    <w:p w14:paraId="6A0C0FCB" w14:textId="77777777" w:rsidR="008B7C30" w:rsidRDefault="008B7C30" w:rsidP="008B7C30">
      <w:pPr>
        <w:widowControl w:val="0"/>
        <w:autoSpaceDE w:val="0"/>
        <w:autoSpaceDN w:val="0"/>
        <w:adjustRightInd w:val="0"/>
        <w:jc w:val="both"/>
        <w:rPr>
          <w:rFonts w:ascii="Arial" w:hAnsi="Arial" w:cs="Arial"/>
          <w:color w:val="1A1A1A"/>
          <w:sz w:val="26"/>
          <w:szCs w:val="26"/>
          <w:lang w:val="en-US"/>
        </w:rPr>
      </w:pPr>
    </w:p>
    <w:tbl>
      <w:tblPr>
        <w:tblW w:w="0" w:type="auto"/>
        <w:tblBorders>
          <w:top w:val="single" w:sz="8" w:space="0" w:color="EAEAEA"/>
          <w:left w:val="single" w:sz="8" w:space="0" w:color="EAEAEA"/>
          <w:right w:val="single" w:sz="8" w:space="0" w:color="EAEAEA"/>
        </w:tblBorders>
        <w:tblLayout w:type="fixed"/>
        <w:tblLook w:val="0000" w:firstRow="0" w:lastRow="0" w:firstColumn="0" w:lastColumn="0" w:noHBand="0" w:noVBand="0"/>
      </w:tblPr>
      <w:tblGrid>
        <w:gridCol w:w="8744"/>
      </w:tblGrid>
      <w:tr w:rsidR="008B7C30" w14:paraId="468F2B85" w14:textId="77777777" w:rsidTr="00CD32F7">
        <w:trPr>
          <w:trHeight w:val="7096"/>
        </w:trPr>
        <w:tc>
          <w:tcPr>
            <w:tcW w:w="8744" w:type="dxa"/>
            <w:vAlign w:val="center"/>
          </w:tcPr>
          <w:p w14:paraId="6BC6D967" w14:textId="77777777" w:rsidR="008B7C30" w:rsidRDefault="008B7C30">
            <w:pPr>
              <w:widowControl w:val="0"/>
              <w:autoSpaceDE w:val="0"/>
              <w:autoSpaceDN w:val="0"/>
              <w:adjustRightInd w:val="0"/>
              <w:jc w:val="center"/>
              <w:rPr>
                <w:rFonts w:ascii="Arial" w:hAnsi="Arial" w:cs="Arial"/>
                <w:color w:val="1A1A1A"/>
                <w:sz w:val="26"/>
                <w:szCs w:val="26"/>
                <w:lang w:val="en-US"/>
              </w:rPr>
            </w:pPr>
            <w:r>
              <w:rPr>
                <w:rFonts w:ascii="Arial" w:hAnsi="Arial" w:cs="Arial"/>
                <w:noProof/>
                <w:color w:val="BF4F10"/>
                <w:sz w:val="26"/>
                <w:szCs w:val="26"/>
                <w:lang w:val="en-US"/>
              </w:rPr>
              <w:drawing>
                <wp:inline distT="0" distB="0" distL="0" distR="0" wp14:anchorId="5E9C2623" wp14:editId="276FE834">
                  <wp:extent cx="6351905" cy="4406900"/>
                  <wp:effectExtent l="0" t="0" r="0" b="1270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1905" cy="4406900"/>
                          </a:xfrm>
                          <a:prstGeom prst="rect">
                            <a:avLst/>
                          </a:prstGeom>
                          <a:noFill/>
                          <a:ln>
                            <a:noFill/>
                          </a:ln>
                        </pic:spPr>
                      </pic:pic>
                    </a:graphicData>
                  </a:graphic>
                </wp:inline>
              </w:drawing>
            </w:r>
          </w:p>
        </w:tc>
      </w:tr>
      <w:tr w:rsidR="008B7C30" w14:paraId="01773F58" w14:textId="77777777" w:rsidTr="00CD32F7">
        <w:tblPrEx>
          <w:tblBorders>
            <w:top w:val="none" w:sz="0" w:space="0" w:color="auto"/>
            <w:bottom w:val="single" w:sz="8" w:space="0" w:color="EAEAEA"/>
          </w:tblBorders>
        </w:tblPrEx>
        <w:trPr>
          <w:trHeight w:val="265"/>
        </w:trPr>
        <w:tc>
          <w:tcPr>
            <w:tcW w:w="8744" w:type="dxa"/>
            <w:vAlign w:val="center"/>
          </w:tcPr>
          <w:p w14:paraId="7D8564C1" w14:textId="77777777" w:rsidR="008B7C30" w:rsidRDefault="008B7C30">
            <w:pPr>
              <w:widowControl w:val="0"/>
              <w:autoSpaceDE w:val="0"/>
              <w:autoSpaceDN w:val="0"/>
              <w:adjustRightInd w:val="0"/>
              <w:jc w:val="center"/>
              <w:rPr>
                <w:rFonts w:ascii="Arial" w:hAnsi="Arial" w:cs="Arial"/>
                <w:color w:val="1A1A1A"/>
                <w:sz w:val="22"/>
                <w:szCs w:val="22"/>
                <w:lang w:val="en-US"/>
              </w:rPr>
            </w:pPr>
            <w:r>
              <w:rPr>
                <w:rFonts w:ascii="Arial" w:hAnsi="Arial" w:cs="Arial"/>
                <w:color w:val="1A1A1A"/>
                <w:sz w:val="22"/>
                <w:szCs w:val="22"/>
                <w:lang w:val="en-US"/>
              </w:rPr>
              <w:t>Figure 2</w:t>
            </w:r>
          </w:p>
        </w:tc>
      </w:tr>
    </w:tbl>
    <w:p w14:paraId="56C5D6ED" w14:textId="77777777" w:rsidR="008B7C30" w:rsidRDefault="008B7C30" w:rsidP="008B7C30">
      <w:pPr>
        <w:widowControl w:val="0"/>
        <w:autoSpaceDE w:val="0"/>
        <w:autoSpaceDN w:val="0"/>
        <w:adjustRightInd w:val="0"/>
        <w:jc w:val="center"/>
        <w:rPr>
          <w:rFonts w:ascii="Arial" w:hAnsi="Arial" w:cs="Arial"/>
          <w:color w:val="1A1A1A"/>
          <w:sz w:val="26"/>
          <w:szCs w:val="26"/>
          <w:lang w:val="en-US"/>
        </w:rPr>
      </w:pPr>
    </w:p>
    <w:p w14:paraId="7ED338A2" w14:textId="77777777" w:rsidR="008B7C30" w:rsidRDefault="008B7C30" w:rsidP="008B7C30">
      <w:pPr>
        <w:widowControl w:val="0"/>
        <w:autoSpaceDE w:val="0"/>
        <w:autoSpaceDN w:val="0"/>
        <w:adjustRightInd w:val="0"/>
        <w:jc w:val="both"/>
        <w:rPr>
          <w:rFonts w:ascii="Arial" w:hAnsi="Arial" w:cs="Arial"/>
          <w:color w:val="1A1A1A"/>
          <w:sz w:val="26"/>
          <w:szCs w:val="26"/>
          <w:lang w:val="en-US"/>
        </w:rPr>
      </w:pPr>
      <w:r>
        <w:rPr>
          <w:rFonts w:ascii="Arial" w:hAnsi="Arial" w:cs="Arial"/>
          <w:color w:val="1A1A1A"/>
          <w:sz w:val="26"/>
          <w:szCs w:val="26"/>
          <w:lang w:val="en-US"/>
        </w:rPr>
        <w:t xml:space="preserve">The </w:t>
      </w:r>
      <w:proofErr w:type="spellStart"/>
      <w:r>
        <w:rPr>
          <w:rFonts w:ascii="Arial" w:hAnsi="Arial" w:cs="Arial"/>
          <w:color w:val="1A1A1A"/>
          <w:sz w:val="26"/>
          <w:szCs w:val="26"/>
          <w:lang w:val="en-US"/>
        </w:rPr>
        <w:t>Kamilaroi</w:t>
      </w:r>
      <w:proofErr w:type="spellEnd"/>
      <w:r>
        <w:rPr>
          <w:rFonts w:ascii="Arial" w:hAnsi="Arial" w:cs="Arial"/>
          <w:color w:val="1A1A1A"/>
          <w:sz w:val="26"/>
          <w:szCs w:val="26"/>
          <w:lang w:val="en-US"/>
        </w:rPr>
        <w:t xml:space="preserve"> and the </w:t>
      </w:r>
      <w:proofErr w:type="spellStart"/>
      <w:r>
        <w:rPr>
          <w:rFonts w:ascii="Arial" w:hAnsi="Arial" w:cs="Arial"/>
          <w:color w:val="1A1A1A"/>
          <w:sz w:val="26"/>
          <w:szCs w:val="26"/>
          <w:lang w:val="en-US"/>
        </w:rPr>
        <w:t>Euahlayi</w:t>
      </w:r>
      <w:proofErr w:type="spellEnd"/>
      <w:r>
        <w:rPr>
          <w:rFonts w:ascii="Arial" w:hAnsi="Arial" w:cs="Arial"/>
          <w:color w:val="1A1A1A"/>
          <w:sz w:val="26"/>
          <w:szCs w:val="26"/>
          <w:lang w:val="en-US"/>
        </w:rPr>
        <w:t xml:space="preserve"> have in common their male initiation ceremony, called the </w:t>
      </w:r>
      <w:r>
        <w:rPr>
          <w:rFonts w:ascii="Arial" w:hAnsi="Arial" w:cs="Arial"/>
          <w:i/>
          <w:iCs/>
          <w:color w:val="1A1A1A"/>
          <w:sz w:val="26"/>
          <w:szCs w:val="26"/>
          <w:lang w:val="en-US"/>
        </w:rPr>
        <w:t>bora</w:t>
      </w:r>
      <w:r>
        <w:rPr>
          <w:rFonts w:ascii="Arial" w:hAnsi="Arial" w:cs="Arial"/>
          <w:color w:val="1A1A1A"/>
          <w:sz w:val="26"/>
          <w:szCs w:val="26"/>
          <w:lang w:val="en-US"/>
        </w:rPr>
        <w:t xml:space="preserve">. The preferred time for the </w:t>
      </w:r>
      <w:r>
        <w:rPr>
          <w:rFonts w:ascii="Arial" w:hAnsi="Arial" w:cs="Arial"/>
          <w:i/>
          <w:iCs/>
          <w:color w:val="1A1A1A"/>
          <w:sz w:val="26"/>
          <w:szCs w:val="26"/>
          <w:lang w:val="en-US"/>
        </w:rPr>
        <w:t>bora</w:t>
      </w:r>
      <w:r>
        <w:rPr>
          <w:rFonts w:ascii="Arial" w:hAnsi="Arial" w:cs="Arial"/>
          <w:color w:val="1A1A1A"/>
          <w:sz w:val="26"/>
          <w:szCs w:val="26"/>
          <w:lang w:val="en-US"/>
        </w:rPr>
        <w:t xml:space="preserve"> ceremony is during the summer, but the planning for the ceremonies, and possibly the layout of the </w:t>
      </w:r>
      <w:r>
        <w:rPr>
          <w:rFonts w:ascii="Arial" w:hAnsi="Arial" w:cs="Arial"/>
          <w:i/>
          <w:iCs/>
          <w:color w:val="1A1A1A"/>
          <w:sz w:val="26"/>
          <w:szCs w:val="26"/>
          <w:lang w:val="en-US"/>
        </w:rPr>
        <w:t xml:space="preserve">bora </w:t>
      </w:r>
      <w:r>
        <w:rPr>
          <w:rFonts w:ascii="Arial" w:hAnsi="Arial" w:cs="Arial"/>
          <w:color w:val="1A1A1A"/>
          <w:sz w:val="26"/>
          <w:szCs w:val="26"/>
          <w:lang w:val="en-US"/>
        </w:rPr>
        <w:t xml:space="preserve">site, may take place in August and September. There is a strong connection between the </w:t>
      </w:r>
      <w:r>
        <w:rPr>
          <w:rFonts w:ascii="Arial" w:hAnsi="Arial" w:cs="Arial"/>
          <w:i/>
          <w:iCs/>
          <w:color w:val="1A1A1A"/>
          <w:sz w:val="26"/>
          <w:szCs w:val="26"/>
          <w:lang w:val="en-US"/>
        </w:rPr>
        <w:t>bora</w:t>
      </w:r>
      <w:r>
        <w:rPr>
          <w:rFonts w:ascii="Arial" w:hAnsi="Arial" w:cs="Arial"/>
          <w:color w:val="1A1A1A"/>
          <w:sz w:val="26"/>
          <w:szCs w:val="26"/>
          <w:lang w:val="en-US"/>
        </w:rPr>
        <w:t xml:space="preserve"> ceremony and the Milky Way, where the culture hero </w:t>
      </w:r>
      <w:proofErr w:type="spellStart"/>
      <w:r>
        <w:rPr>
          <w:rFonts w:ascii="Arial" w:hAnsi="Arial" w:cs="Arial"/>
          <w:i/>
          <w:iCs/>
          <w:color w:val="1A1A1A"/>
          <w:sz w:val="26"/>
          <w:szCs w:val="26"/>
          <w:lang w:val="en-US"/>
        </w:rPr>
        <w:t>Baiame</w:t>
      </w:r>
      <w:proofErr w:type="spellEnd"/>
      <w:r>
        <w:rPr>
          <w:rFonts w:ascii="Arial" w:hAnsi="Arial" w:cs="Arial"/>
          <w:color w:val="1A1A1A"/>
          <w:sz w:val="26"/>
          <w:szCs w:val="26"/>
          <w:lang w:val="en-US"/>
        </w:rPr>
        <w:t xml:space="preserve"> lives, and to whom the ceremony is dedicated. There is also evidence that the Emu is connected to the ceremony: as male emus rear the young, so male Aboriginal elders nurture the young initiates into manhood.</w:t>
      </w:r>
    </w:p>
    <w:p w14:paraId="083091CC" w14:textId="77777777" w:rsidR="008B7C30" w:rsidRDefault="008B7C30" w:rsidP="008B7C30">
      <w:pPr>
        <w:widowControl w:val="0"/>
        <w:autoSpaceDE w:val="0"/>
        <w:autoSpaceDN w:val="0"/>
        <w:adjustRightInd w:val="0"/>
        <w:jc w:val="both"/>
        <w:rPr>
          <w:rFonts w:ascii="Arial" w:hAnsi="Arial" w:cs="Arial"/>
          <w:color w:val="1A1A1A"/>
          <w:sz w:val="26"/>
          <w:szCs w:val="26"/>
          <w:lang w:val="en-US"/>
        </w:rPr>
      </w:pPr>
    </w:p>
    <w:p w14:paraId="4A55E4CC" w14:textId="77777777" w:rsidR="008B7C30" w:rsidRDefault="008B7C30" w:rsidP="008B7C30">
      <w:pPr>
        <w:widowControl w:val="0"/>
        <w:autoSpaceDE w:val="0"/>
        <w:autoSpaceDN w:val="0"/>
        <w:adjustRightInd w:val="0"/>
        <w:jc w:val="both"/>
        <w:rPr>
          <w:rFonts w:ascii="Arial" w:hAnsi="Arial" w:cs="Arial"/>
          <w:color w:val="1A1A1A"/>
          <w:sz w:val="26"/>
          <w:szCs w:val="26"/>
          <w:lang w:val="en-US"/>
        </w:rPr>
      </w:pPr>
    </w:p>
    <w:p w14:paraId="5C374DF5" w14:textId="77777777" w:rsidR="008B7C30" w:rsidRDefault="008B7C30" w:rsidP="008B7C30">
      <w:pPr>
        <w:widowControl w:val="0"/>
        <w:autoSpaceDE w:val="0"/>
        <w:autoSpaceDN w:val="0"/>
        <w:adjustRightInd w:val="0"/>
        <w:jc w:val="both"/>
        <w:rPr>
          <w:rFonts w:ascii="Arial" w:hAnsi="Arial" w:cs="Arial"/>
          <w:color w:val="1A1A1A"/>
          <w:sz w:val="26"/>
          <w:szCs w:val="26"/>
          <w:lang w:val="en-US"/>
        </w:rPr>
      </w:pPr>
    </w:p>
    <w:p w14:paraId="50B6A6C4" w14:textId="77777777" w:rsidR="008B7C30" w:rsidRDefault="008B7C30" w:rsidP="008B7C30">
      <w:pPr>
        <w:widowControl w:val="0"/>
        <w:autoSpaceDE w:val="0"/>
        <w:autoSpaceDN w:val="0"/>
        <w:adjustRightInd w:val="0"/>
        <w:jc w:val="both"/>
        <w:rPr>
          <w:rFonts w:ascii="Arial" w:hAnsi="Arial" w:cs="Arial"/>
          <w:color w:val="1A1A1A"/>
          <w:sz w:val="26"/>
          <w:szCs w:val="26"/>
          <w:lang w:val="en-US"/>
        </w:rPr>
      </w:pPr>
      <w:r>
        <w:rPr>
          <w:rFonts w:ascii="Arial" w:hAnsi="Arial" w:cs="Arial"/>
          <w:color w:val="1A1A1A"/>
          <w:sz w:val="26"/>
          <w:szCs w:val="26"/>
          <w:lang w:val="en-US"/>
        </w:rPr>
        <w:t xml:space="preserve">The </w:t>
      </w:r>
      <w:r>
        <w:rPr>
          <w:rFonts w:ascii="Arial" w:hAnsi="Arial" w:cs="Arial"/>
          <w:i/>
          <w:iCs/>
          <w:color w:val="1A1A1A"/>
          <w:sz w:val="26"/>
          <w:szCs w:val="26"/>
          <w:lang w:val="en-US"/>
        </w:rPr>
        <w:t xml:space="preserve">bora </w:t>
      </w:r>
      <w:r>
        <w:rPr>
          <w:rFonts w:ascii="Arial" w:hAnsi="Arial" w:cs="Arial"/>
          <w:color w:val="1A1A1A"/>
          <w:sz w:val="26"/>
          <w:szCs w:val="26"/>
          <w:lang w:val="en-US"/>
        </w:rPr>
        <w:t xml:space="preserve">ceremonial site usually consists of two circles, one large, and one small, connected by a pathway. In August and September, the Emu once again changes appearance to that of two circles in the sky, vertically aligned above the south-southwest horizon (Figure 3). This is the direction to which most </w:t>
      </w:r>
      <w:r>
        <w:rPr>
          <w:rFonts w:ascii="Arial" w:hAnsi="Arial" w:cs="Arial"/>
          <w:i/>
          <w:iCs/>
          <w:color w:val="1A1A1A"/>
          <w:sz w:val="26"/>
          <w:szCs w:val="26"/>
          <w:lang w:val="en-US"/>
        </w:rPr>
        <w:t>bora</w:t>
      </w:r>
      <w:r>
        <w:rPr>
          <w:rFonts w:ascii="Arial" w:hAnsi="Arial" w:cs="Arial"/>
          <w:color w:val="1A1A1A"/>
          <w:sz w:val="26"/>
          <w:szCs w:val="26"/>
          <w:lang w:val="en-US"/>
        </w:rPr>
        <w:t xml:space="preserve"> sites are aligned (from large circle to small circle).</w:t>
      </w:r>
    </w:p>
    <w:p w14:paraId="0A288339" w14:textId="77777777" w:rsidR="008B7C30" w:rsidRDefault="008B7C30" w:rsidP="008B7C30">
      <w:pPr>
        <w:widowControl w:val="0"/>
        <w:autoSpaceDE w:val="0"/>
        <w:autoSpaceDN w:val="0"/>
        <w:adjustRightInd w:val="0"/>
        <w:rPr>
          <w:rFonts w:ascii="Arial" w:hAnsi="Arial" w:cs="Arial"/>
          <w:color w:val="1A1A1A"/>
          <w:sz w:val="26"/>
          <w:szCs w:val="26"/>
          <w:lang w:val="en-US"/>
        </w:rPr>
      </w:pPr>
    </w:p>
    <w:tbl>
      <w:tblPr>
        <w:tblW w:w="0" w:type="auto"/>
        <w:tblBorders>
          <w:top w:val="single" w:sz="8" w:space="0" w:color="EAEAEA"/>
          <w:left w:val="single" w:sz="8" w:space="0" w:color="EAEAEA"/>
          <w:right w:val="single" w:sz="8" w:space="0" w:color="EAEAEA"/>
        </w:tblBorders>
        <w:tblLayout w:type="fixed"/>
        <w:tblLook w:val="0000" w:firstRow="0" w:lastRow="0" w:firstColumn="0" w:lastColumn="0" w:noHBand="0" w:noVBand="0"/>
      </w:tblPr>
      <w:tblGrid>
        <w:gridCol w:w="8740"/>
      </w:tblGrid>
      <w:tr w:rsidR="008B7C30" w14:paraId="3B879B16" w14:textId="77777777" w:rsidTr="00CD32F7">
        <w:trPr>
          <w:trHeight w:val="7331"/>
        </w:trPr>
        <w:tc>
          <w:tcPr>
            <w:tcW w:w="8740" w:type="dxa"/>
            <w:vAlign w:val="center"/>
          </w:tcPr>
          <w:p w14:paraId="4F3EE943" w14:textId="77777777" w:rsidR="008B7C30" w:rsidRDefault="008B7C30">
            <w:pPr>
              <w:widowControl w:val="0"/>
              <w:autoSpaceDE w:val="0"/>
              <w:autoSpaceDN w:val="0"/>
              <w:adjustRightInd w:val="0"/>
              <w:jc w:val="center"/>
              <w:rPr>
                <w:rFonts w:ascii="Arial" w:hAnsi="Arial" w:cs="Arial"/>
                <w:color w:val="1A1A1A"/>
                <w:sz w:val="26"/>
                <w:szCs w:val="26"/>
                <w:lang w:val="en-US"/>
              </w:rPr>
            </w:pPr>
            <w:r>
              <w:rPr>
                <w:rFonts w:ascii="Arial" w:hAnsi="Arial" w:cs="Arial"/>
                <w:noProof/>
                <w:color w:val="BF4F10"/>
                <w:sz w:val="26"/>
                <w:szCs w:val="26"/>
                <w:lang w:val="en-US"/>
              </w:rPr>
              <w:drawing>
                <wp:inline distT="0" distB="0" distL="0" distR="0" wp14:anchorId="0B2BE46B" wp14:editId="2DE681F6">
                  <wp:extent cx="5778500" cy="4493895"/>
                  <wp:effectExtent l="0" t="0" r="12700" b="1905"/>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8500" cy="4493895"/>
                          </a:xfrm>
                          <a:prstGeom prst="rect">
                            <a:avLst/>
                          </a:prstGeom>
                          <a:noFill/>
                          <a:ln>
                            <a:noFill/>
                          </a:ln>
                        </pic:spPr>
                      </pic:pic>
                    </a:graphicData>
                  </a:graphic>
                </wp:inline>
              </w:drawing>
            </w:r>
          </w:p>
        </w:tc>
      </w:tr>
      <w:tr w:rsidR="008B7C30" w14:paraId="569513DC" w14:textId="77777777" w:rsidTr="00CD32F7">
        <w:tblPrEx>
          <w:tblBorders>
            <w:top w:val="none" w:sz="0" w:space="0" w:color="auto"/>
            <w:bottom w:val="single" w:sz="8" w:space="0" w:color="EAEAEA"/>
          </w:tblBorders>
        </w:tblPrEx>
        <w:trPr>
          <w:trHeight w:val="269"/>
        </w:trPr>
        <w:tc>
          <w:tcPr>
            <w:tcW w:w="8740" w:type="dxa"/>
            <w:vAlign w:val="center"/>
          </w:tcPr>
          <w:p w14:paraId="5C557C79" w14:textId="77777777" w:rsidR="008B7C30" w:rsidRDefault="008B7C30">
            <w:pPr>
              <w:widowControl w:val="0"/>
              <w:autoSpaceDE w:val="0"/>
              <w:autoSpaceDN w:val="0"/>
              <w:adjustRightInd w:val="0"/>
              <w:jc w:val="center"/>
              <w:rPr>
                <w:rFonts w:ascii="Arial" w:hAnsi="Arial" w:cs="Arial"/>
                <w:color w:val="1A1A1A"/>
                <w:sz w:val="22"/>
                <w:szCs w:val="22"/>
                <w:lang w:val="en-US"/>
              </w:rPr>
            </w:pPr>
            <w:r>
              <w:rPr>
                <w:rFonts w:ascii="Arial" w:hAnsi="Arial" w:cs="Arial"/>
                <w:color w:val="1A1A1A"/>
                <w:sz w:val="22"/>
                <w:szCs w:val="22"/>
                <w:lang w:val="en-US"/>
              </w:rPr>
              <w:t>Figure 3</w:t>
            </w:r>
          </w:p>
        </w:tc>
      </w:tr>
    </w:tbl>
    <w:p w14:paraId="3027B9F6" w14:textId="77777777" w:rsidR="008B7C30" w:rsidRDefault="008B7C30" w:rsidP="008B7C30">
      <w:pPr>
        <w:widowControl w:val="0"/>
        <w:autoSpaceDE w:val="0"/>
        <w:autoSpaceDN w:val="0"/>
        <w:adjustRightInd w:val="0"/>
        <w:jc w:val="center"/>
        <w:rPr>
          <w:rFonts w:ascii="Arial" w:hAnsi="Arial" w:cs="Arial"/>
          <w:color w:val="1A1A1A"/>
          <w:sz w:val="26"/>
          <w:szCs w:val="26"/>
          <w:lang w:val="en-US"/>
        </w:rPr>
      </w:pPr>
    </w:p>
    <w:p w14:paraId="7F15E070" w14:textId="77777777" w:rsidR="008B7C30" w:rsidRDefault="008B7C30" w:rsidP="008B7C30">
      <w:pPr>
        <w:widowControl w:val="0"/>
        <w:autoSpaceDE w:val="0"/>
        <w:autoSpaceDN w:val="0"/>
        <w:adjustRightInd w:val="0"/>
        <w:jc w:val="both"/>
        <w:rPr>
          <w:rFonts w:ascii="Arial" w:hAnsi="Arial" w:cs="Arial"/>
          <w:color w:val="1A1A1A"/>
          <w:sz w:val="26"/>
          <w:szCs w:val="26"/>
          <w:lang w:val="en-US"/>
        </w:rPr>
      </w:pPr>
      <w:r>
        <w:rPr>
          <w:rFonts w:ascii="Arial" w:hAnsi="Arial" w:cs="Arial"/>
          <w:color w:val="1A1A1A"/>
          <w:sz w:val="26"/>
          <w:szCs w:val="26"/>
          <w:lang w:val="en-US"/>
        </w:rPr>
        <w:t xml:space="preserve">Later in the year, around November, the Emu once again changes appearance and becomes </w:t>
      </w:r>
      <w:proofErr w:type="spellStart"/>
      <w:r>
        <w:rPr>
          <w:rFonts w:ascii="Arial" w:hAnsi="Arial" w:cs="Arial"/>
          <w:i/>
          <w:iCs/>
          <w:color w:val="1A1A1A"/>
          <w:sz w:val="26"/>
          <w:szCs w:val="26"/>
          <w:lang w:val="en-US"/>
        </w:rPr>
        <w:t>Gawarrgay</w:t>
      </w:r>
      <w:proofErr w:type="spellEnd"/>
      <w:r>
        <w:rPr>
          <w:rFonts w:ascii="Arial" w:hAnsi="Arial" w:cs="Arial"/>
          <w:i/>
          <w:iCs/>
          <w:color w:val="1A1A1A"/>
          <w:sz w:val="26"/>
          <w:szCs w:val="26"/>
          <w:lang w:val="en-US"/>
        </w:rPr>
        <w:t>/</w:t>
      </w:r>
      <w:proofErr w:type="spellStart"/>
      <w:r>
        <w:rPr>
          <w:rFonts w:ascii="Arial" w:hAnsi="Arial" w:cs="Arial"/>
          <w:i/>
          <w:iCs/>
          <w:color w:val="1A1A1A"/>
          <w:sz w:val="26"/>
          <w:szCs w:val="26"/>
          <w:lang w:val="en-US"/>
        </w:rPr>
        <w:t>Gawarghoo</w:t>
      </w:r>
      <w:proofErr w:type="spellEnd"/>
      <w:r>
        <w:rPr>
          <w:rFonts w:ascii="Arial" w:hAnsi="Arial" w:cs="Arial"/>
          <w:i/>
          <w:iCs/>
          <w:color w:val="1A1A1A"/>
          <w:sz w:val="26"/>
          <w:szCs w:val="26"/>
          <w:lang w:val="en-US"/>
        </w:rPr>
        <w:t xml:space="preserve">, </w:t>
      </w:r>
      <w:r>
        <w:rPr>
          <w:rFonts w:ascii="Arial" w:hAnsi="Arial" w:cs="Arial"/>
          <w:color w:val="1A1A1A"/>
          <w:sz w:val="26"/>
          <w:szCs w:val="26"/>
          <w:lang w:val="en-US"/>
        </w:rPr>
        <w:t xml:space="preserve">a featherless Emu that travels to waterholes and looks after everything that lives there. The Emu is now low on the horizon in the evening, so it appears only as the “body” of the Emu. The </w:t>
      </w:r>
      <w:proofErr w:type="spellStart"/>
      <w:r>
        <w:rPr>
          <w:rFonts w:ascii="Arial" w:hAnsi="Arial" w:cs="Arial"/>
          <w:color w:val="1A1A1A"/>
          <w:sz w:val="26"/>
          <w:szCs w:val="26"/>
          <w:lang w:val="en-US"/>
        </w:rPr>
        <w:t>Kamilaroi</w:t>
      </w:r>
      <w:proofErr w:type="spellEnd"/>
      <w:r>
        <w:rPr>
          <w:rFonts w:ascii="Arial" w:hAnsi="Arial" w:cs="Arial"/>
          <w:color w:val="1A1A1A"/>
          <w:sz w:val="26"/>
          <w:szCs w:val="26"/>
          <w:lang w:val="en-US"/>
        </w:rPr>
        <w:t xml:space="preserve"> and </w:t>
      </w:r>
      <w:proofErr w:type="spellStart"/>
      <w:r>
        <w:rPr>
          <w:rFonts w:ascii="Arial" w:hAnsi="Arial" w:cs="Arial"/>
          <w:color w:val="1A1A1A"/>
          <w:sz w:val="26"/>
          <w:szCs w:val="26"/>
          <w:lang w:val="en-US"/>
        </w:rPr>
        <w:t>Euahlayi</w:t>
      </w:r>
      <w:proofErr w:type="spellEnd"/>
      <w:r>
        <w:rPr>
          <w:rFonts w:ascii="Arial" w:hAnsi="Arial" w:cs="Arial"/>
          <w:color w:val="1A1A1A"/>
          <w:sz w:val="26"/>
          <w:szCs w:val="26"/>
          <w:lang w:val="en-US"/>
        </w:rPr>
        <w:t xml:space="preserve"> say this is because the Emu is sitting in a waterhole (Figure 4). As a consequence, the waterholes in country are full (which is often the case in November).</w:t>
      </w:r>
    </w:p>
    <w:p w14:paraId="0550333C" w14:textId="77777777" w:rsidR="008B7C30" w:rsidRDefault="008B7C30" w:rsidP="008B7C30">
      <w:pPr>
        <w:widowControl w:val="0"/>
        <w:autoSpaceDE w:val="0"/>
        <w:autoSpaceDN w:val="0"/>
        <w:adjustRightInd w:val="0"/>
        <w:rPr>
          <w:rFonts w:ascii="Arial" w:hAnsi="Arial" w:cs="Arial"/>
          <w:color w:val="1A1A1A"/>
          <w:sz w:val="26"/>
          <w:szCs w:val="26"/>
          <w:lang w:val="en-US"/>
        </w:rPr>
      </w:pPr>
    </w:p>
    <w:tbl>
      <w:tblPr>
        <w:tblW w:w="9102" w:type="dxa"/>
        <w:tblBorders>
          <w:top w:val="single" w:sz="8" w:space="0" w:color="EAEAEA"/>
          <w:left w:val="single" w:sz="8" w:space="0" w:color="EAEAEA"/>
          <w:right w:val="single" w:sz="8" w:space="0" w:color="EAEAEA"/>
        </w:tblBorders>
        <w:tblLayout w:type="fixed"/>
        <w:tblLook w:val="0000" w:firstRow="0" w:lastRow="0" w:firstColumn="0" w:lastColumn="0" w:noHBand="0" w:noVBand="0"/>
      </w:tblPr>
      <w:tblGrid>
        <w:gridCol w:w="9102"/>
      </w:tblGrid>
      <w:tr w:rsidR="008B7C30" w14:paraId="1808F0AD" w14:textId="77777777" w:rsidTr="00CD32F7">
        <w:trPr>
          <w:trHeight w:val="7441"/>
        </w:trPr>
        <w:tc>
          <w:tcPr>
            <w:tcW w:w="9102" w:type="dxa"/>
            <w:vAlign w:val="center"/>
          </w:tcPr>
          <w:p w14:paraId="70CA32BA" w14:textId="77777777" w:rsidR="008B7C30" w:rsidRDefault="008B7C30">
            <w:pPr>
              <w:widowControl w:val="0"/>
              <w:autoSpaceDE w:val="0"/>
              <w:autoSpaceDN w:val="0"/>
              <w:adjustRightInd w:val="0"/>
              <w:jc w:val="center"/>
              <w:rPr>
                <w:rFonts w:ascii="Arial" w:hAnsi="Arial" w:cs="Arial"/>
                <w:color w:val="1A1A1A"/>
                <w:sz w:val="26"/>
                <w:szCs w:val="26"/>
                <w:lang w:val="en-US"/>
              </w:rPr>
            </w:pPr>
            <w:bookmarkStart w:id="0" w:name="_GoBack"/>
            <w:bookmarkEnd w:id="0"/>
            <w:r>
              <w:rPr>
                <w:rFonts w:ascii="Arial" w:hAnsi="Arial" w:cs="Arial"/>
                <w:noProof/>
                <w:color w:val="BF4F10"/>
                <w:sz w:val="26"/>
                <w:szCs w:val="26"/>
                <w:lang w:val="en-US"/>
              </w:rPr>
              <w:drawing>
                <wp:inline distT="0" distB="0" distL="0" distR="0" wp14:anchorId="7F1490D5" wp14:editId="53052CBF">
                  <wp:extent cx="6400800" cy="4484370"/>
                  <wp:effectExtent l="0" t="0" r="0" b="1143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4484370"/>
                          </a:xfrm>
                          <a:prstGeom prst="rect">
                            <a:avLst/>
                          </a:prstGeom>
                          <a:noFill/>
                          <a:ln>
                            <a:noFill/>
                          </a:ln>
                        </pic:spPr>
                      </pic:pic>
                    </a:graphicData>
                  </a:graphic>
                </wp:inline>
              </w:drawing>
            </w:r>
          </w:p>
        </w:tc>
      </w:tr>
      <w:tr w:rsidR="008B7C30" w14:paraId="3BB9D5F7" w14:textId="77777777" w:rsidTr="00CD32F7">
        <w:tblPrEx>
          <w:tblBorders>
            <w:top w:val="none" w:sz="0" w:space="0" w:color="auto"/>
            <w:bottom w:val="single" w:sz="8" w:space="0" w:color="EAEAEA"/>
          </w:tblBorders>
        </w:tblPrEx>
        <w:trPr>
          <w:trHeight w:val="273"/>
        </w:trPr>
        <w:tc>
          <w:tcPr>
            <w:tcW w:w="9102" w:type="dxa"/>
            <w:vAlign w:val="center"/>
          </w:tcPr>
          <w:p w14:paraId="2A05CDED" w14:textId="77777777" w:rsidR="008B7C30" w:rsidRDefault="008B7C30">
            <w:pPr>
              <w:widowControl w:val="0"/>
              <w:autoSpaceDE w:val="0"/>
              <w:autoSpaceDN w:val="0"/>
              <w:adjustRightInd w:val="0"/>
              <w:jc w:val="center"/>
              <w:rPr>
                <w:rFonts w:ascii="Arial" w:hAnsi="Arial" w:cs="Arial"/>
                <w:color w:val="1A1A1A"/>
                <w:sz w:val="22"/>
                <w:szCs w:val="22"/>
                <w:lang w:val="en-US"/>
              </w:rPr>
            </w:pPr>
            <w:r>
              <w:rPr>
                <w:rFonts w:ascii="Arial" w:hAnsi="Arial" w:cs="Arial"/>
                <w:color w:val="1A1A1A"/>
                <w:sz w:val="22"/>
                <w:szCs w:val="22"/>
                <w:lang w:val="en-US"/>
              </w:rPr>
              <w:t>Figure 4</w:t>
            </w:r>
          </w:p>
        </w:tc>
      </w:tr>
    </w:tbl>
    <w:p w14:paraId="6352288A" w14:textId="77777777" w:rsidR="008B7C30" w:rsidRDefault="008B7C30" w:rsidP="008B7C30">
      <w:pPr>
        <w:widowControl w:val="0"/>
        <w:autoSpaceDE w:val="0"/>
        <w:autoSpaceDN w:val="0"/>
        <w:adjustRightInd w:val="0"/>
        <w:jc w:val="center"/>
        <w:rPr>
          <w:rFonts w:ascii="Arial" w:hAnsi="Arial" w:cs="Arial"/>
          <w:color w:val="1A1A1A"/>
          <w:sz w:val="26"/>
          <w:szCs w:val="26"/>
          <w:lang w:val="en-US"/>
        </w:rPr>
      </w:pPr>
    </w:p>
    <w:p w14:paraId="61EA1EBB" w14:textId="77777777" w:rsidR="008B7C30" w:rsidRDefault="008B7C30" w:rsidP="008B7C30">
      <w:pPr>
        <w:widowControl w:val="0"/>
        <w:autoSpaceDE w:val="0"/>
        <w:autoSpaceDN w:val="0"/>
        <w:adjustRightInd w:val="0"/>
        <w:jc w:val="both"/>
        <w:rPr>
          <w:rFonts w:ascii="Arial" w:hAnsi="Arial" w:cs="Arial"/>
          <w:color w:val="1A1A1A"/>
          <w:sz w:val="26"/>
          <w:szCs w:val="26"/>
          <w:lang w:val="en-US"/>
        </w:rPr>
      </w:pPr>
      <w:r>
        <w:rPr>
          <w:rFonts w:ascii="Arial" w:hAnsi="Arial" w:cs="Arial"/>
          <w:color w:val="1A1A1A"/>
          <w:sz w:val="26"/>
          <w:szCs w:val="26"/>
          <w:lang w:val="en-US"/>
        </w:rPr>
        <w:t>Later in the summer, the Milky Way and the Emu dip below the horizon. This signifies that the Emu has left the waterholes, which dries up the waterholes.</w:t>
      </w:r>
    </w:p>
    <w:p w14:paraId="6DA9DBA6" w14:textId="77777777" w:rsidR="008B7C30" w:rsidRDefault="008B7C30" w:rsidP="008B7C30">
      <w:pPr>
        <w:widowControl w:val="0"/>
        <w:autoSpaceDE w:val="0"/>
        <w:autoSpaceDN w:val="0"/>
        <w:adjustRightInd w:val="0"/>
        <w:jc w:val="both"/>
        <w:rPr>
          <w:rFonts w:ascii="Arial" w:hAnsi="Arial" w:cs="Arial"/>
          <w:color w:val="1A1A1A"/>
          <w:sz w:val="26"/>
          <w:szCs w:val="26"/>
          <w:lang w:val="en-US"/>
        </w:rPr>
      </w:pPr>
    </w:p>
    <w:p w14:paraId="285C68D7" w14:textId="77777777" w:rsidR="008B7C30" w:rsidRDefault="008B7C30" w:rsidP="008B7C30">
      <w:pPr>
        <w:widowControl w:val="0"/>
        <w:autoSpaceDE w:val="0"/>
        <w:autoSpaceDN w:val="0"/>
        <w:adjustRightInd w:val="0"/>
        <w:jc w:val="both"/>
        <w:rPr>
          <w:rFonts w:ascii="Arial" w:hAnsi="Arial" w:cs="Arial"/>
          <w:color w:val="1A1A1A"/>
          <w:sz w:val="26"/>
          <w:szCs w:val="26"/>
          <w:lang w:val="en-US"/>
        </w:rPr>
      </w:pPr>
      <w:r>
        <w:rPr>
          <w:rFonts w:ascii="Arial" w:hAnsi="Arial" w:cs="Arial"/>
          <w:color w:val="1A1A1A"/>
          <w:sz w:val="26"/>
          <w:szCs w:val="26"/>
          <w:lang w:val="en-US"/>
        </w:rPr>
        <w:t xml:space="preserve">The </w:t>
      </w:r>
      <w:proofErr w:type="spellStart"/>
      <w:r>
        <w:rPr>
          <w:rFonts w:ascii="Arial" w:hAnsi="Arial" w:cs="Arial"/>
          <w:color w:val="1A1A1A"/>
          <w:sz w:val="26"/>
          <w:szCs w:val="26"/>
          <w:lang w:val="en-US"/>
        </w:rPr>
        <w:t>Kamilaroi</w:t>
      </w:r>
      <w:proofErr w:type="spellEnd"/>
      <w:r>
        <w:rPr>
          <w:rFonts w:ascii="Arial" w:hAnsi="Arial" w:cs="Arial"/>
          <w:color w:val="1A1A1A"/>
          <w:sz w:val="26"/>
          <w:szCs w:val="26"/>
          <w:lang w:val="en-US"/>
        </w:rPr>
        <w:t xml:space="preserve"> and </w:t>
      </w:r>
      <w:proofErr w:type="spellStart"/>
      <w:r>
        <w:rPr>
          <w:rFonts w:ascii="Arial" w:hAnsi="Arial" w:cs="Arial"/>
          <w:color w:val="1A1A1A"/>
          <w:sz w:val="26"/>
          <w:szCs w:val="26"/>
          <w:lang w:val="en-US"/>
        </w:rPr>
        <w:t>Euahlayi</w:t>
      </w:r>
      <w:proofErr w:type="spellEnd"/>
      <w:r>
        <w:rPr>
          <w:rFonts w:ascii="Arial" w:hAnsi="Arial" w:cs="Arial"/>
          <w:color w:val="1A1A1A"/>
          <w:sz w:val="26"/>
          <w:szCs w:val="26"/>
          <w:lang w:val="en-US"/>
        </w:rPr>
        <w:t xml:space="preserve"> peoples have a complete story of the Emu in the Sky, and this reflects their belief that, at one time, the sky and everything in it was “down here”, and what is now “down here” was in the sky. This explains the connection between the Emu in the Sky, and the emu bird on the ground, and the connections to resource management and the ceremonial aspects of the male initiation ceremony.</w:t>
      </w:r>
    </w:p>
    <w:p w14:paraId="7C2ECB8E" w14:textId="77777777" w:rsidR="0099499A" w:rsidRDefault="0099499A"/>
    <w:sectPr w:rsidR="0099499A" w:rsidSect="0026728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C30"/>
    <w:rsid w:val="00267281"/>
    <w:rsid w:val="008B7C30"/>
    <w:rsid w:val="0099499A"/>
    <w:rsid w:val="00CD3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A54F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C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7C30"/>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C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7C30"/>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yperlink" Target="http://1.bp.blogspot.com/-DEBmfIiejfU/UzjpIN7a7WI/AAAAAAAAAY4/4_mb0oZtUx4/s1600/emu4.png" TargetMode="External"/><Relationship Id="rId13" Type="http://schemas.openxmlformats.org/officeDocument/2006/relationships/image" Target="media/image4.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mq.academia.edu/RobertFuller" TargetMode="External"/><Relationship Id="rId6" Type="http://schemas.openxmlformats.org/officeDocument/2006/relationships/hyperlink" Target="http://2.bp.blogspot.com/-ku9xO7vBJpk/Uzjo_jD6GqI/AAAAAAAAAYg/qSp7Z2jZ_9w/s1600/emu1.png" TargetMode="External"/><Relationship Id="rId7" Type="http://schemas.openxmlformats.org/officeDocument/2006/relationships/image" Target="media/image1.png"/><Relationship Id="rId8" Type="http://schemas.openxmlformats.org/officeDocument/2006/relationships/hyperlink" Target="http://2.bp.blogspot.com/--1XAXzWkMs4/UzjpCbbVqpI/AAAAAAAAAYo/i7rAXXNur64/s1600/emu2.png" TargetMode="External"/><Relationship Id="rId9" Type="http://schemas.openxmlformats.org/officeDocument/2006/relationships/image" Target="media/image2.png"/><Relationship Id="rId10" Type="http://schemas.openxmlformats.org/officeDocument/2006/relationships/hyperlink" Target="http://3.bp.blogspot.com/-C7rtiyHQOAI/UzjpFt1DsxI/AAAAAAAAAYw/Kzy63RkWDPA/s1600/emu3.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507</Words>
  <Characters>2893</Characters>
  <Application>Microsoft Macintosh Word</Application>
  <DocSecurity>0</DocSecurity>
  <Lines>24</Lines>
  <Paragraphs>6</Paragraphs>
  <ScaleCrop>false</ScaleCrop>
  <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Starr</dc:creator>
  <cp:keywords/>
  <dc:description/>
  <cp:lastModifiedBy>Gary Starr</cp:lastModifiedBy>
  <cp:revision>2</cp:revision>
  <dcterms:created xsi:type="dcterms:W3CDTF">2014-05-02T07:02:00Z</dcterms:created>
  <dcterms:modified xsi:type="dcterms:W3CDTF">2014-05-02T09:24:00Z</dcterms:modified>
</cp:coreProperties>
</file>